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2AFDC" w14:textId="618E2423" w:rsidR="000A319F" w:rsidRPr="000A319F" w:rsidRDefault="00924FB2" w:rsidP="001D615D">
      <w:pPr>
        <w:rPr>
          <w:b/>
          <w:bCs/>
          <w:lang w:val="fr-FR"/>
        </w:rPr>
      </w:pPr>
      <w:r w:rsidRPr="00924FB2">
        <w:rPr>
          <w:lang w:val="fr-FR"/>
        </w:rPr>
        <w:t>L’EDST a le plaisir de vous annoncer la soutenance de la thèse de doctorat en codirection de M</w:t>
      </w:r>
      <w:r w:rsidR="00AD5BEA">
        <w:rPr>
          <w:lang w:val="fr-FR"/>
        </w:rPr>
        <w:t xml:space="preserve">me </w:t>
      </w:r>
      <w:proofErr w:type="spellStart"/>
      <w:r w:rsidR="000A319F">
        <w:rPr>
          <w:lang w:val="fr-FR"/>
        </w:rPr>
        <w:t>Deema</w:t>
      </w:r>
      <w:proofErr w:type="spellEnd"/>
      <w:r w:rsidR="000A319F">
        <w:rPr>
          <w:lang w:val="fr-FR"/>
        </w:rPr>
        <w:t xml:space="preserve"> Rahme</w:t>
      </w:r>
      <w:r w:rsidRPr="00924FB2">
        <w:rPr>
          <w:lang w:val="fr-FR"/>
        </w:rPr>
        <w:t xml:space="preserve">, en </w:t>
      </w:r>
      <w:r w:rsidR="000A319F">
        <w:rPr>
          <w:lang w:val="fr-FR"/>
        </w:rPr>
        <w:t>Epidémiologie,</w:t>
      </w:r>
      <w:r w:rsidRPr="00924FB2">
        <w:rPr>
          <w:lang w:val="fr-FR"/>
        </w:rPr>
        <w:t xml:space="preserve"> intitulée :</w:t>
      </w:r>
      <w:r w:rsidRPr="00924FB2">
        <w:rPr>
          <w:lang w:val="fr-FR"/>
        </w:rPr>
        <w:br/>
      </w:r>
      <w:r w:rsidRPr="00924FB2">
        <w:rPr>
          <w:b/>
          <w:bCs/>
          <w:lang w:val="fr-FR"/>
        </w:rPr>
        <w:t xml:space="preserve">« </w:t>
      </w:r>
      <w:r w:rsidR="000A319F" w:rsidRPr="000A319F">
        <w:rPr>
          <w:b/>
          <w:bCs/>
          <w:lang w:val="fr-FR"/>
        </w:rPr>
        <w:t xml:space="preserve">Management of </w:t>
      </w:r>
      <w:proofErr w:type="spellStart"/>
      <w:r w:rsidR="000A319F">
        <w:rPr>
          <w:b/>
          <w:bCs/>
          <w:lang w:val="fr-FR"/>
        </w:rPr>
        <w:t>community-acquired</w:t>
      </w:r>
      <w:proofErr w:type="spellEnd"/>
      <w:r w:rsidR="000A319F" w:rsidRPr="000A319F">
        <w:rPr>
          <w:b/>
          <w:bCs/>
          <w:lang w:val="fr-FR"/>
        </w:rPr>
        <w:t xml:space="preserve"> </w:t>
      </w:r>
      <w:proofErr w:type="spellStart"/>
      <w:r w:rsidR="000A319F" w:rsidRPr="000A319F">
        <w:rPr>
          <w:b/>
          <w:bCs/>
          <w:lang w:val="fr-FR"/>
        </w:rPr>
        <w:t>pneumonia</w:t>
      </w:r>
      <w:proofErr w:type="spellEnd"/>
      <w:r w:rsidR="000A319F" w:rsidRPr="000A319F">
        <w:rPr>
          <w:b/>
          <w:bCs/>
          <w:lang w:val="fr-FR"/>
        </w:rPr>
        <w:t xml:space="preserve"> and </w:t>
      </w:r>
      <w:proofErr w:type="spellStart"/>
      <w:r w:rsidR="000A319F" w:rsidRPr="000A319F">
        <w:rPr>
          <w:b/>
          <w:bCs/>
          <w:lang w:val="fr-FR"/>
        </w:rPr>
        <w:t>urinary</w:t>
      </w:r>
      <w:proofErr w:type="spellEnd"/>
      <w:r w:rsidR="000A319F" w:rsidRPr="000A319F">
        <w:rPr>
          <w:b/>
          <w:bCs/>
          <w:lang w:val="fr-FR"/>
        </w:rPr>
        <w:t xml:space="preserve"> tract infections</w:t>
      </w:r>
    </w:p>
    <w:p w14:paraId="05766E34" w14:textId="0BE17119" w:rsidR="005E4BF6" w:rsidRDefault="000A319F" w:rsidP="001D615D">
      <w:pPr>
        <w:rPr>
          <w:lang w:val="fr-FR"/>
        </w:rPr>
      </w:pPr>
      <w:proofErr w:type="gramStart"/>
      <w:r w:rsidRPr="000A319F">
        <w:rPr>
          <w:b/>
          <w:bCs/>
          <w:lang w:val="fr-FR"/>
        </w:rPr>
        <w:t>in</w:t>
      </w:r>
      <w:proofErr w:type="gramEnd"/>
      <w:r w:rsidRPr="000A319F">
        <w:rPr>
          <w:b/>
          <w:bCs/>
          <w:lang w:val="fr-FR"/>
        </w:rPr>
        <w:t xml:space="preserve"> </w:t>
      </w:r>
      <w:proofErr w:type="spellStart"/>
      <w:r w:rsidRPr="000A319F">
        <w:rPr>
          <w:b/>
          <w:bCs/>
          <w:lang w:val="fr-FR"/>
        </w:rPr>
        <w:t>Lebanese</w:t>
      </w:r>
      <w:proofErr w:type="spellEnd"/>
      <w:r w:rsidRPr="000A319F">
        <w:rPr>
          <w:b/>
          <w:bCs/>
          <w:lang w:val="fr-FR"/>
        </w:rPr>
        <w:t xml:space="preserve"> </w:t>
      </w:r>
      <w:proofErr w:type="spellStart"/>
      <w:proofErr w:type="gramStart"/>
      <w:r w:rsidRPr="000A319F">
        <w:rPr>
          <w:b/>
          <w:bCs/>
          <w:lang w:val="fr-FR"/>
        </w:rPr>
        <w:t>Hospitals</w:t>
      </w:r>
      <w:proofErr w:type="spellEnd"/>
      <w:r w:rsidR="00924FB2" w:rsidRPr="00924FB2">
        <w:rPr>
          <w:b/>
          <w:bCs/>
          <w:lang w:val="fr-FR"/>
        </w:rPr>
        <w:t>»</w:t>
      </w:r>
      <w:proofErr w:type="gramEnd"/>
      <w:r w:rsidR="00924FB2" w:rsidRPr="00924FB2">
        <w:rPr>
          <w:lang w:val="fr-FR"/>
        </w:rPr>
        <w:t>,</w:t>
      </w:r>
    </w:p>
    <w:p w14:paraId="0E77E009" w14:textId="45E1BB4A" w:rsidR="00924FB2" w:rsidRPr="00924FB2" w:rsidRDefault="00924FB2" w:rsidP="005E4BF6">
      <w:pPr>
        <w:rPr>
          <w:lang w:val="fr-FR"/>
        </w:rPr>
      </w:pPr>
      <w:r w:rsidRPr="00924FB2">
        <w:rPr>
          <w:lang w:val="fr-FR"/>
        </w:rPr>
        <w:br/>
        <w:t xml:space="preserve">préparée sous la </w:t>
      </w:r>
      <w:r w:rsidR="0059529C">
        <w:rPr>
          <w:lang w:val="fr-FR"/>
        </w:rPr>
        <w:t>Direction</w:t>
      </w:r>
      <w:r w:rsidRPr="00924FB2">
        <w:rPr>
          <w:lang w:val="fr-FR"/>
        </w:rPr>
        <w:t xml:space="preserve"> du Prof. </w:t>
      </w:r>
      <w:r w:rsidR="000A319F">
        <w:rPr>
          <w:lang w:val="fr-FR"/>
        </w:rPr>
        <w:t>Pascale Salameh</w:t>
      </w:r>
      <w:r w:rsidR="0059529C">
        <w:rPr>
          <w:lang w:val="fr-FR"/>
        </w:rPr>
        <w:t xml:space="preserve"> et </w:t>
      </w:r>
      <w:r w:rsidR="0059529C" w:rsidRPr="00C3428C">
        <w:rPr>
          <w:lang w:val="fr-FR"/>
        </w:rPr>
        <w:t xml:space="preserve">Pr. </w:t>
      </w:r>
      <w:proofErr w:type="spellStart"/>
      <w:r w:rsidR="0059529C" w:rsidRPr="00C3428C">
        <w:rPr>
          <w:lang w:val="fr-FR"/>
        </w:rPr>
        <w:t>Hania</w:t>
      </w:r>
      <w:proofErr w:type="spellEnd"/>
      <w:r w:rsidR="0059529C" w:rsidRPr="00C3428C">
        <w:rPr>
          <w:lang w:val="fr-FR"/>
        </w:rPr>
        <w:t xml:space="preserve"> </w:t>
      </w:r>
      <w:proofErr w:type="spellStart"/>
      <w:r w:rsidR="0059529C" w:rsidRPr="00C3428C">
        <w:rPr>
          <w:lang w:val="fr-FR"/>
        </w:rPr>
        <w:t>Nakkash</w:t>
      </w:r>
      <w:proofErr w:type="spellEnd"/>
      <w:r w:rsidR="0059529C" w:rsidRPr="00C3428C">
        <w:rPr>
          <w:lang w:val="fr-FR"/>
        </w:rPr>
        <w:t xml:space="preserve"> </w:t>
      </w:r>
      <w:proofErr w:type="spellStart"/>
      <w:r w:rsidR="0059529C" w:rsidRPr="00C3428C">
        <w:rPr>
          <w:lang w:val="fr-FR"/>
        </w:rPr>
        <w:t>Chmaisse</w:t>
      </w:r>
      <w:proofErr w:type="spellEnd"/>
    </w:p>
    <w:p w14:paraId="27DA78BC" w14:textId="412A77CF" w:rsidR="00924FB2" w:rsidRPr="00924FB2" w:rsidRDefault="00924FB2" w:rsidP="00924FB2">
      <w:pPr>
        <w:rPr>
          <w:lang w:val="fr-FR"/>
        </w:rPr>
      </w:pPr>
      <w:r w:rsidRPr="00924FB2">
        <w:rPr>
          <w:lang w:val="fr-FR"/>
        </w:rPr>
        <w:t xml:space="preserve">La soutenance aura lieu le </w:t>
      </w:r>
      <w:r w:rsidR="000A319F" w:rsidRPr="005E4BF6">
        <w:rPr>
          <w:lang w:val="fr-FR"/>
        </w:rPr>
        <w:t>Lundi</w:t>
      </w:r>
      <w:r w:rsidRPr="005E4BF6">
        <w:rPr>
          <w:lang w:val="fr-FR"/>
        </w:rPr>
        <w:t xml:space="preserve"> </w:t>
      </w:r>
      <w:r w:rsidR="000A319F" w:rsidRPr="005E4BF6">
        <w:rPr>
          <w:lang w:val="fr-FR"/>
        </w:rPr>
        <w:t>07</w:t>
      </w:r>
      <w:r w:rsidRPr="005E4BF6">
        <w:rPr>
          <w:lang w:val="fr-FR"/>
        </w:rPr>
        <w:t xml:space="preserve"> </w:t>
      </w:r>
      <w:r w:rsidR="000A319F" w:rsidRPr="005E4BF6">
        <w:rPr>
          <w:lang w:val="fr-FR"/>
        </w:rPr>
        <w:t>Juillet</w:t>
      </w:r>
      <w:r w:rsidRPr="005E4BF6">
        <w:rPr>
          <w:lang w:val="fr-FR"/>
        </w:rPr>
        <w:t xml:space="preserve"> 2025 à </w:t>
      </w:r>
      <w:r w:rsidR="000A319F">
        <w:rPr>
          <w:lang w:val="fr-FR"/>
        </w:rPr>
        <w:t>15 pm</w:t>
      </w:r>
      <w:r w:rsidRPr="00924FB2">
        <w:rPr>
          <w:lang w:val="fr-FR"/>
        </w:rPr>
        <w:t xml:space="preserve">, à </w:t>
      </w:r>
      <w:proofErr w:type="spellStart"/>
      <w:r w:rsidRPr="005E4BF6">
        <w:rPr>
          <w:lang w:val="fr-FR"/>
        </w:rPr>
        <w:t>Hadat</w:t>
      </w:r>
      <w:proofErr w:type="spellEnd"/>
      <w:r w:rsidRPr="00924FB2">
        <w:rPr>
          <w:lang w:val="fr-FR"/>
        </w:rPr>
        <w:t>, dans la salle de soutenance des thèses située au rez-de-chaussée du bâtiment de l’EDST, sur le campus Rafic Hariri de l’Université Libanaise (</w:t>
      </w:r>
      <w:proofErr w:type="spellStart"/>
      <w:r w:rsidRPr="00924FB2">
        <w:rPr>
          <w:lang w:val="fr-FR"/>
        </w:rPr>
        <w:t>Hadat</w:t>
      </w:r>
      <w:proofErr w:type="spellEnd"/>
      <w:r w:rsidRPr="00924FB2">
        <w:rPr>
          <w:lang w:val="fr-FR"/>
        </w:rPr>
        <w:t>), devant un jury composé de :</w:t>
      </w:r>
    </w:p>
    <w:p w14:paraId="2E916FA7" w14:textId="77777777" w:rsidR="00E17513" w:rsidRDefault="00E17513" w:rsidP="004B6B32">
      <w:pPr>
        <w:rPr>
          <w:lang w:val="fr-FR"/>
        </w:rPr>
      </w:pPr>
    </w:p>
    <w:tbl>
      <w:tblPr>
        <w:tblStyle w:val="TableGrid"/>
        <w:tblpPr w:leftFromText="180" w:rightFromText="180" w:vertAnchor="text" w:horzAnchor="margin" w:tblpY="-52"/>
        <w:bidiVisual/>
        <w:tblW w:w="9548" w:type="dxa"/>
        <w:tblLook w:val="04A0" w:firstRow="1" w:lastRow="0" w:firstColumn="1" w:lastColumn="0" w:noHBand="0" w:noVBand="1"/>
      </w:tblPr>
      <w:tblGrid>
        <w:gridCol w:w="3863"/>
        <w:gridCol w:w="2700"/>
        <w:gridCol w:w="2985"/>
      </w:tblGrid>
      <w:tr w:rsidR="005E4BF6" w14:paraId="72B6159D" w14:textId="77777777" w:rsidTr="005E4BF6">
        <w:trPr>
          <w:trHeight w:val="432"/>
        </w:trPr>
        <w:tc>
          <w:tcPr>
            <w:tcW w:w="3863" w:type="dxa"/>
          </w:tcPr>
          <w:p w14:paraId="2ED74C83" w14:textId="77777777" w:rsidR="005E4BF6" w:rsidRPr="00C3428C" w:rsidRDefault="005E4BF6" w:rsidP="0059529C">
            <w:pPr>
              <w:tabs>
                <w:tab w:val="left" w:pos="1296"/>
              </w:tabs>
              <w:rPr>
                <w:rFonts w:eastAsiaTheme="minorHAnsi"/>
                <w:kern w:val="2"/>
                <w:rtl/>
                <w:lang w:val="fr-FR"/>
                <w14:ligatures w14:val="standardContextual"/>
              </w:rPr>
            </w:pPr>
            <w:r w:rsidRPr="00C3428C">
              <w:rPr>
                <w:rFonts w:eastAsiaTheme="minorHAnsi"/>
                <w:kern w:val="2"/>
                <w:lang w:val="fr-FR"/>
                <w14:ligatures w14:val="standardContextual"/>
              </w:rPr>
              <w:t>Université Libanaise</w:t>
            </w:r>
          </w:p>
        </w:tc>
        <w:tc>
          <w:tcPr>
            <w:tcW w:w="2700" w:type="dxa"/>
          </w:tcPr>
          <w:p w14:paraId="149F193B" w14:textId="3DD28391" w:rsidR="005E4BF6" w:rsidRPr="00C3428C" w:rsidRDefault="005E4BF6" w:rsidP="0059529C">
            <w:pPr>
              <w:tabs>
                <w:tab w:val="left" w:pos="1296"/>
              </w:tabs>
              <w:rPr>
                <w:rFonts w:eastAsiaTheme="minorHAnsi"/>
                <w:kern w:val="2"/>
                <w:rtl/>
                <w:lang w:val="fr-FR"/>
                <w14:ligatures w14:val="standardContextual"/>
              </w:rPr>
            </w:pPr>
            <w:r w:rsidRPr="00C3428C">
              <w:rPr>
                <w:rFonts w:eastAsiaTheme="minorHAnsi"/>
                <w:kern w:val="2"/>
                <w:lang w:val="fr-FR"/>
                <w14:ligatures w14:val="standardContextual"/>
              </w:rPr>
              <w:t>Directeur</w:t>
            </w:r>
          </w:p>
        </w:tc>
        <w:tc>
          <w:tcPr>
            <w:tcW w:w="2985" w:type="dxa"/>
          </w:tcPr>
          <w:p w14:paraId="3697A588" w14:textId="77777777" w:rsidR="005E4BF6" w:rsidRPr="00C3428C" w:rsidRDefault="005E4BF6" w:rsidP="0059529C">
            <w:pPr>
              <w:tabs>
                <w:tab w:val="left" w:pos="1296"/>
              </w:tabs>
              <w:rPr>
                <w:rFonts w:eastAsiaTheme="minorHAnsi"/>
                <w:kern w:val="2"/>
                <w:lang w:val="fr-FR"/>
                <w14:ligatures w14:val="standardContextual"/>
              </w:rPr>
            </w:pPr>
            <w:r w:rsidRPr="00C3428C">
              <w:rPr>
                <w:rFonts w:eastAsiaTheme="minorHAnsi"/>
                <w:kern w:val="2"/>
                <w:lang w:val="fr-FR"/>
                <w14:ligatures w14:val="standardContextual"/>
              </w:rPr>
              <w:t>Pr. Pascale Salameh</w:t>
            </w:r>
          </w:p>
        </w:tc>
      </w:tr>
      <w:tr w:rsidR="005E4BF6" w14:paraId="507DB5B2" w14:textId="77777777" w:rsidTr="005E4BF6">
        <w:trPr>
          <w:trHeight w:val="432"/>
        </w:trPr>
        <w:tc>
          <w:tcPr>
            <w:tcW w:w="3863" w:type="dxa"/>
          </w:tcPr>
          <w:p w14:paraId="4E68259D" w14:textId="77777777" w:rsidR="005E4BF6" w:rsidRPr="00C3428C" w:rsidRDefault="005E4BF6" w:rsidP="0059529C">
            <w:pPr>
              <w:rPr>
                <w:rFonts w:eastAsiaTheme="minorHAnsi"/>
                <w:kern w:val="2"/>
                <w:lang w:val="fr-FR"/>
                <w14:ligatures w14:val="standardContextual"/>
              </w:rPr>
            </w:pPr>
            <w:r w:rsidRPr="00C3428C">
              <w:rPr>
                <w:rFonts w:eastAsiaTheme="minorHAnsi"/>
                <w:kern w:val="2"/>
                <w:lang w:val="fr-FR"/>
                <w14:ligatures w14:val="standardContextual"/>
              </w:rPr>
              <w:t xml:space="preserve">Beirut Arab </w:t>
            </w:r>
            <w:proofErr w:type="spellStart"/>
            <w:r w:rsidRPr="00C3428C">
              <w:rPr>
                <w:rFonts w:eastAsiaTheme="minorHAnsi"/>
                <w:kern w:val="2"/>
                <w:lang w:val="fr-FR"/>
                <w14:ligatures w14:val="standardContextual"/>
              </w:rPr>
              <w:t>University</w:t>
            </w:r>
            <w:proofErr w:type="spellEnd"/>
          </w:p>
        </w:tc>
        <w:tc>
          <w:tcPr>
            <w:tcW w:w="2700" w:type="dxa"/>
          </w:tcPr>
          <w:p w14:paraId="0C77E25D" w14:textId="77777777" w:rsidR="005E4BF6" w:rsidRPr="00C3428C" w:rsidRDefault="005E4BF6" w:rsidP="0059529C">
            <w:pPr>
              <w:tabs>
                <w:tab w:val="left" w:pos="1296"/>
              </w:tabs>
              <w:rPr>
                <w:rFonts w:eastAsiaTheme="minorHAnsi"/>
                <w:kern w:val="2"/>
                <w:lang w:val="fr-FR"/>
                <w14:ligatures w14:val="standardContextual"/>
              </w:rPr>
            </w:pPr>
            <w:r w:rsidRPr="00C3428C">
              <w:rPr>
                <w:rFonts w:eastAsiaTheme="minorHAnsi"/>
                <w:kern w:val="2"/>
                <w:lang w:val="fr-FR"/>
                <w14:ligatures w14:val="standardContextual"/>
              </w:rPr>
              <w:t>Co-Directeur</w:t>
            </w:r>
          </w:p>
        </w:tc>
        <w:tc>
          <w:tcPr>
            <w:tcW w:w="2985" w:type="dxa"/>
          </w:tcPr>
          <w:p w14:paraId="6E33B398" w14:textId="77777777" w:rsidR="005E4BF6" w:rsidRPr="00C3428C" w:rsidRDefault="005E4BF6" w:rsidP="0059529C">
            <w:pPr>
              <w:tabs>
                <w:tab w:val="left" w:pos="1296"/>
              </w:tabs>
              <w:rPr>
                <w:rFonts w:eastAsiaTheme="minorHAnsi"/>
                <w:kern w:val="2"/>
                <w:lang w:val="fr-FR"/>
                <w14:ligatures w14:val="standardContextual"/>
              </w:rPr>
            </w:pPr>
            <w:r w:rsidRPr="00C3428C">
              <w:rPr>
                <w:rFonts w:eastAsiaTheme="minorHAnsi"/>
                <w:kern w:val="2"/>
                <w:lang w:val="fr-FR"/>
                <w14:ligatures w14:val="standardContextual"/>
              </w:rPr>
              <w:t xml:space="preserve">Pr. </w:t>
            </w:r>
            <w:proofErr w:type="spellStart"/>
            <w:r w:rsidRPr="00C3428C">
              <w:rPr>
                <w:rFonts w:eastAsiaTheme="minorHAnsi"/>
                <w:kern w:val="2"/>
                <w:lang w:val="fr-FR"/>
                <w14:ligatures w14:val="standardContextual"/>
              </w:rPr>
              <w:t>Hania</w:t>
            </w:r>
            <w:proofErr w:type="spellEnd"/>
            <w:r w:rsidRPr="00C3428C">
              <w:rPr>
                <w:rFonts w:eastAsiaTheme="minorHAnsi"/>
                <w:kern w:val="2"/>
                <w:lang w:val="fr-FR"/>
                <w14:ligatures w14:val="standardContextual"/>
              </w:rPr>
              <w:t xml:space="preserve"> </w:t>
            </w:r>
            <w:proofErr w:type="spellStart"/>
            <w:r w:rsidRPr="00C3428C">
              <w:rPr>
                <w:rFonts w:eastAsiaTheme="minorHAnsi"/>
                <w:kern w:val="2"/>
                <w:lang w:val="fr-FR"/>
                <w14:ligatures w14:val="standardContextual"/>
              </w:rPr>
              <w:t>Nakkash</w:t>
            </w:r>
            <w:proofErr w:type="spellEnd"/>
            <w:r w:rsidRPr="00C3428C">
              <w:rPr>
                <w:rFonts w:eastAsiaTheme="minorHAnsi"/>
                <w:kern w:val="2"/>
                <w:lang w:val="fr-FR"/>
                <w14:ligatures w14:val="standardContextual"/>
              </w:rPr>
              <w:t xml:space="preserve"> </w:t>
            </w:r>
            <w:proofErr w:type="spellStart"/>
            <w:r w:rsidRPr="00C3428C">
              <w:rPr>
                <w:rFonts w:eastAsiaTheme="minorHAnsi"/>
                <w:kern w:val="2"/>
                <w:lang w:val="fr-FR"/>
                <w14:ligatures w14:val="standardContextual"/>
              </w:rPr>
              <w:t>Chmaisse</w:t>
            </w:r>
            <w:proofErr w:type="spellEnd"/>
          </w:p>
        </w:tc>
      </w:tr>
      <w:tr w:rsidR="005E4BF6" w14:paraId="108E104F" w14:textId="77777777" w:rsidTr="005E4BF6">
        <w:trPr>
          <w:trHeight w:val="404"/>
        </w:trPr>
        <w:tc>
          <w:tcPr>
            <w:tcW w:w="3863" w:type="dxa"/>
          </w:tcPr>
          <w:p w14:paraId="01B041AA" w14:textId="77777777" w:rsidR="005E4BF6" w:rsidRPr="00C3428C" w:rsidRDefault="005E4BF6" w:rsidP="0059529C">
            <w:pPr>
              <w:pStyle w:val="Default"/>
              <w:rPr>
                <w:rFonts w:asciiTheme="minorHAnsi" w:eastAsiaTheme="minorHAnsi" w:hAnsiTheme="minorHAnsi" w:cstheme="minorBidi"/>
                <w:color w:val="auto"/>
                <w:kern w:val="2"/>
                <w:sz w:val="22"/>
                <w:szCs w:val="22"/>
                <w:rtl/>
                <w:lang w:val="fr-FR"/>
                <w14:ligatures w14:val="standardContextual"/>
              </w:rPr>
            </w:pPr>
            <w:proofErr w:type="spellStart"/>
            <w:r w:rsidRPr="00C3428C">
              <w:rPr>
                <w:rFonts w:asciiTheme="minorHAnsi" w:eastAsiaTheme="minorHAnsi" w:hAnsiTheme="minorHAnsi" w:cstheme="minorBidi"/>
                <w:color w:val="auto"/>
                <w:kern w:val="2"/>
                <w:sz w:val="22"/>
                <w:szCs w:val="22"/>
                <w:lang w:val="fr-FR"/>
                <w14:ligatures w14:val="standardContextual"/>
              </w:rPr>
              <w:t>Applied</w:t>
            </w:r>
            <w:proofErr w:type="spellEnd"/>
            <w:r w:rsidRPr="00C3428C">
              <w:rPr>
                <w:rFonts w:asciiTheme="minorHAnsi" w:eastAsiaTheme="minorHAnsi" w:hAnsiTheme="minorHAnsi" w:cstheme="minorBidi"/>
                <w:color w:val="auto"/>
                <w:kern w:val="2"/>
                <w:sz w:val="22"/>
                <w:szCs w:val="22"/>
                <w:lang w:val="fr-FR"/>
                <w14:ligatures w14:val="standardContextual"/>
              </w:rPr>
              <w:t xml:space="preserve"> Science </w:t>
            </w:r>
            <w:proofErr w:type="spellStart"/>
            <w:r w:rsidRPr="00C3428C">
              <w:rPr>
                <w:rFonts w:asciiTheme="minorHAnsi" w:eastAsiaTheme="minorHAnsi" w:hAnsiTheme="minorHAnsi" w:cstheme="minorBidi"/>
                <w:color w:val="auto"/>
                <w:kern w:val="2"/>
                <w:sz w:val="22"/>
                <w:szCs w:val="22"/>
                <w:lang w:val="fr-FR"/>
                <w14:ligatures w14:val="standardContextual"/>
              </w:rPr>
              <w:t>University</w:t>
            </w:r>
            <w:proofErr w:type="spellEnd"/>
            <w:r w:rsidRPr="00C3428C">
              <w:rPr>
                <w:rFonts w:asciiTheme="minorHAnsi" w:eastAsiaTheme="minorHAnsi" w:hAnsiTheme="minorHAnsi" w:cstheme="minorBidi"/>
                <w:color w:val="auto"/>
                <w:kern w:val="2"/>
                <w:sz w:val="22"/>
                <w:szCs w:val="22"/>
                <w:lang w:val="fr-FR"/>
                <w14:ligatures w14:val="standardContextual"/>
              </w:rPr>
              <w:t xml:space="preserve"> Amman</w:t>
            </w:r>
          </w:p>
        </w:tc>
        <w:tc>
          <w:tcPr>
            <w:tcW w:w="2700" w:type="dxa"/>
          </w:tcPr>
          <w:p w14:paraId="61D3BB9F" w14:textId="77777777" w:rsidR="005E4BF6" w:rsidRPr="00C3428C" w:rsidRDefault="005E4BF6" w:rsidP="0059529C">
            <w:pPr>
              <w:tabs>
                <w:tab w:val="left" w:pos="1296"/>
              </w:tabs>
              <w:rPr>
                <w:rFonts w:eastAsiaTheme="minorHAnsi"/>
                <w:kern w:val="2"/>
                <w:rtl/>
                <w:lang w:val="fr-FR"/>
                <w14:ligatures w14:val="standardContextual"/>
              </w:rPr>
            </w:pPr>
            <w:r w:rsidRPr="00C3428C">
              <w:rPr>
                <w:rFonts w:eastAsiaTheme="minorHAnsi"/>
                <w:kern w:val="2"/>
                <w:lang w:val="fr-FR"/>
                <w14:ligatures w14:val="standardContextual"/>
              </w:rPr>
              <w:t>Rapporteur</w:t>
            </w:r>
          </w:p>
        </w:tc>
        <w:tc>
          <w:tcPr>
            <w:tcW w:w="2985" w:type="dxa"/>
          </w:tcPr>
          <w:p w14:paraId="12D1AAB1" w14:textId="77777777" w:rsidR="005E4BF6" w:rsidRPr="00C3428C" w:rsidRDefault="005E4BF6" w:rsidP="0059529C">
            <w:pPr>
              <w:tabs>
                <w:tab w:val="left" w:pos="1296"/>
              </w:tabs>
              <w:rPr>
                <w:rFonts w:eastAsiaTheme="minorHAnsi"/>
                <w:kern w:val="2"/>
                <w:rtl/>
                <w:lang w:val="fr-FR"/>
                <w14:ligatures w14:val="standardContextual"/>
              </w:rPr>
            </w:pPr>
            <w:r w:rsidRPr="00C3428C">
              <w:rPr>
                <w:rFonts w:eastAsiaTheme="minorHAnsi"/>
                <w:kern w:val="2"/>
                <w:lang w:val="fr-FR"/>
                <w14:ligatures w14:val="standardContextual"/>
              </w:rPr>
              <w:t xml:space="preserve">Pr. Rana </w:t>
            </w:r>
            <w:proofErr w:type="spellStart"/>
            <w:r w:rsidRPr="00C3428C">
              <w:rPr>
                <w:rFonts w:eastAsiaTheme="minorHAnsi"/>
                <w:kern w:val="2"/>
                <w:lang w:val="fr-FR"/>
                <w14:ligatures w14:val="standardContextual"/>
              </w:rPr>
              <w:t>Abu-Farha</w:t>
            </w:r>
            <w:proofErr w:type="spellEnd"/>
          </w:p>
        </w:tc>
      </w:tr>
      <w:tr w:rsidR="005E4BF6" w14:paraId="6112706A" w14:textId="77777777" w:rsidTr="005E4BF6">
        <w:trPr>
          <w:trHeight w:val="432"/>
        </w:trPr>
        <w:tc>
          <w:tcPr>
            <w:tcW w:w="3863" w:type="dxa"/>
          </w:tcPr>
          <w:p w14:paraId="35146F88" w14:textId="500E24D8" w:rsidR="005E4BF6" w:rsidRPr="00C3428C" w:rsidRDefault="005E4BF6" w:rsidP="0059529C">
            <w:pPr>
              <w:tabs>
                <w:tab w:val="left" w:pos="1296"/>
              </w:tabs>
              <w:rPr>
                <w:rFonts w:eastAsiaTheme="minorHAnsi"/>
                <w:kern w:val="2"/>
                <w:rtl/>
                <w:lang w:val="fr-FR"/>
                <w14:ligatures w14:val="standardContextual"/>
              </w:rPr>
            </w:pPr>
            <w:r w:rsidRPr="00C3428C">
              <w:rPr>
                <w:rFonts w:eastAsiaTheme="minorHAnsi"/>
                <w:kern w:val="2"/>
                <w:lang w:val="fr-FR"/>
                <w14:ligatures w14:val="standardContextual"/>
              </w:rPr>
              <w:t xml:space="preserve">Fayoum </w:t>
            </w:r>
            <w:proofErr w:type="spellStart"/>
            <w:r w:rsidRPr="00C3428C">
              <w:rPr>
                <w:rFonts w:eastAsiaTheme="minorHAnsi"/>
                <w:kern w:val="2"/>
                <w:lang w:val="fr-FR"/>
                <w14:ligatures w14:val="standardContextual"/>
              </w:rPr>
              <w:t>University</w:t>
            </w:r>
            <w:proofErr w:type="spellEnd"/>
          </w:p>
        </w:tc>
        <w:tc>
          <w:tcPr>
            <w:tcW w:w="2700" w:type="dxa"/>
          </w:tcPr>
          <w:p w14:paraId="6C077D29" w14:textId="77777777" w:rsidR="005E4BF6" w:rsidRPr="00C3428C" w:rsidRDefault="005E4BF6" w:rsidP="0059529C">
            <w:pPr>
              <w:tabs>
                <w:tab w:val="left" w:pos="1296"/>
              </w:tabs>
              <w:rPr>
                <w:rFonts w:eastAsiaTheme="minorHAnsi"/>
                <w:kern w:val="2"/>
                <w:rtl/>
                <w:lang w:val="fr-FR"/>
                <w14:ligatures w14:val="standardContextual"/>
              </w:rPr>
            </w:pPr>
            <w:r w:rsidRPr="00C3428C">
              <w:rPr>
                <w:rFonts w:eastAsiaTheme="minorHAnsi"/>
                <w:kern w:val="2"/>
                <w:lang w:val="fr-FR"/>
                <w14:ligatures w14:val="standardContextual"/>
              </w:rPr>
              <w:t>Rapporteur</w:t>
            </w:r>
          </w:p>
        </w:tc>
        <w:tc>
          <w:tcPr>
            <w:tcW w:w="2985" w:type="dxa"/>
          </w:tcPr>
          <w:p w14:paraId="7659760B" w14:textId="77777777" w:rsidR="005E4BF6" w:rsidRPr="00C3428C" w:rsidRDefault="005E4BF6" w:rsidP="0059529C">
            <w:pPr>
              <w:tabs>
                <w:tab w:val="left" w:pos="1296"/>
              </w:tabs>
              <w:rPr>
                <w:rFonts w:eastAsiaTheme="minorHAnsi"/>
                <w:kern w:val="2"/>
                <w:rtl/>
                <w:lang w:val="fr-FR"/>
                <w14:ligatures w14:val="standardContextual"/>
              </w:rPr>
            </w:pPr>
            <w:r w:rsidRPr="00C3428C">
              <w:rPr>
                <w:rFonts w:eastAsiaTheme="minorHAnsi"/>
                <w:kern w:val="2"/>
                <w:lang w:val="fr-FR"/>
                <w14:ligatures w14:val="standardContextual"/>
              </w:rPr>
              <w:t>Pr. Asmaa El Sary</w:t>
            </w:r>
          </w:p>
        </w:tc>
      </w:tr>
      <w:tr w:rsidR="005E4BF6" w14:paraId="68F0F81F" w14:textId="77777777" w:rsidTr="005E4BF6">
        <w:trPr>
          <w:trHeight w:val="432"/>
        </w:trPr>
        <w:tc>
          <w:tcPr>
            <w:tcW w:w="3863" w:type="dxa"/>
          </w:tcPr>
          <w:p w14:paraId="1B6F8C6B" w14:textId="77777777" w:rsidR="005E4BF6" w:rsidRPr="00C3428C" w:rsidRDefault="005E4BF6" w:rsidP="0059529C">
            <w:pPr>
              <w:rPr>
                <w:rFonts w:eastAsiaTheme="minorHAnsi"/>
                <w:kern w:val="2"/>
                <w:rtl/>
                <w:lang w:val="fr-FR"/>
                <w14:ligatures w14:val="standardContextual"/>
              </w:rPr>
            </w:pPr>
            <w:r w:rsidRPr="00C3428C">
              <w:rPr>
                <w:rFonts w:eastAsiaTheme="minorHAnsi"/>
                <w:kern w:val="2"/>
                <w:lang w:val="fr-FR"/>
                <w14:ligatures w14:val="standardContextual"/>
              </w:rPr>
              <w:t xml:space="preserve">Beirut Arab </w:t>
            </w:r>
            <w:proofErr w:type="spellStart"/>
            <w:r w:rsidRPr="00C3428C">
              <w:rPr>
                <w:rFonts w:eastAsiaTheme="minorHAnsi"/>
                <w:kern w:val="2"/>
                <w:lang w:val="fr-FR"/>
                <w14:ligatures w14:val="standardContextual"/>
              </w:rPr>
              <w:t>University</w:t>
            </w:r>
            <w:proofErr w:type="spellEnd"/>
          </w:p>
        </w:tc>
        <w:tc>
          <w:tcPr>
            <w:tcW w:w="2700" w:type="dxa"/>
          </w:tcPr>
          <w:p w14:paraId="216AACA8" w14:textId="49A86422" w:rsidR="005E4BF6" w:rsidRPr="00C3428C" w:rsidRDefault="005E4BF6" w:rsidP="0059529C">
            <w:pPr>
              <w:tabs>
                <w:tab w:val="left" w:pos="1296"/>
              </w:tabs>
              <w:rPr>
                <w:rFonts w:eastAsiaTheme="minorHAnsi"/>
                <w:kern w:val="2"/>
                <w:rtl/>
                <w:lang w:val="fr-FR"/>
                <w14:ligatures w14:val="standardContextual"/>
              </w:rPr>
            </w:pPr>
            <w:r w:rsidRPr="00C3428C">
              <w:rPr>
                <w:rFonts w:eastAsiaTheme="minorHAnsi"/>
                <w:kern w:val="2"/>
                <w:lang w:val="fr-FR"/>
                <w14:ligatures w14:val="standardContextual"/>
              </w:rPr>
              <w:t>Examinateur</w:t>
            </w:r>
          </w:p>
        </w:tc>
        <w:tc>
          <w:tcPr>
            <w:tcW w:w="2985" w:type="dxa"/>
          </w:tcPr>
          <w:p w14:paraId="146E5CF6" w14:textId="77777777" w:rsidR="005E4BF6" w:rsidRPr="00C3428C" w:rsidRDefault="005E4BF6" w:rsidP="0059529C">
            <w:pPr>
              <w:tabs>
                <w:tab w:val="left" w:pos="1296"/>
              </w:tabs>
              <w:rPr>
                <w:rFonts w:eastAsiaTheme="minorHAnsi"/>
                <w:kern w:val="2"/>
                <w:rtl/>
                <w:lang w:val="fr-FR"/>
                <w14:ligatures w14:val="standardContextual"/>
              </w:rPr>
            </w:pPr>
            <w:r w:rsidRPr="00C3428C">
              <w:rPr>
                <w:rFonts w:eastAsiaTheme="minorHAnsi"/>
                <w:kern w:val="2"/>
                <w:lang w:val="fr-FR"/>
                <w14:ligatures w14:val="standardContextual"/>
              </w:rPr>
              <w:t>Pr. Mahmoud Kassem</w:t>
            </w:r>
          </w:p>
        </w:tc>
      </w:tr>
      <w:tr w:rsidR="005E4BF6" w14:paraId="683E6289" w14:textId="77777777" w:rsidTr="005E4BF6">
        <w:trPr>
          <w:trHeight w:val="432"/>
        </w:trPr>
        <w:tc>
          <w:tcPr>
            <w:tcW w:w="3863" w:type="dxa"/>
            <w:vAlign w:val="bottom"/>
          </w:tcPr>
          <w:p w14:paraId="7F6BA449" w14:textId="77777777" w:rsidR="005E4BF6" w:rsidRPr="00C3428C" w:rsidRDefault="005E4BF6" w:rsidP="0059529C">
            <w:pPr>
              <w:tabs>
                <w:tab w:val="left" w:pos="1296"/>
              </w:tabs>
              <w:rPr>
                <w:rFonts w:eastAsiaTheme="minorHAnsi"/>
                <w:kern w:val="2"/>
                <w:rtl/>
                <w:lang w:val="fr-FR"/>
                <w14:ligatures w14:val="standardContextual"/>
              </w:rPr>
            </w:pPr>
            <w:proofErr w:type="spellStart"/>
            <w:r w:rsidRPr="00C3428C">
              <w:rPr>
                <w:rFonts w:eastAsiaTheme="minorHAnsi"/>
                <w:kern w:val="2"/>
                <w:lang w:val="fr-FR"/>
                <w14:ligatures w14:val="standardContextual"/>
              </w:rPr>
              <w:t>Lebanese</w:t>
            </w:r>
            <w:proofErr w:type="spellEnd"/>
            <w:r w:rsidRPr="00C3428C">
              <w:rPr>
                <w:rFonts w:eastAsiaTheme="minorHAnsi"/>
                <w:kern w:val="2"/>
                <w:lang w:val="fr-FR"/>
                <w14:ligatures w14:val="standardContextual"/>
              </w:rPr>
              <w:t xml:space="preserve"> American </w:t>
            </w:r>
            <w:proofErr w:type="spellStart"/>
            <w:r w:rsidRPr="00C3428C">
              <w:rPr>
                <w:rFonts w:eastAsiaTheme="minorHAnsi"/>
                <w:kern w:val="2"/>
                <w:lang w:val="fr-FR"/>
                <w14:ligatures w14:val="standardContextual"/>
              </w:rPr>
              <w:t>University</w:t>
            </w:r>
            <w:proofErr w:type="spellEnd"/>
          </w:p>
        </w:tc>
        <w:tc>
          <w:tcPr>
            <w:tcW w:w="2700" w:type="dxa"/>
          </w:tcPr>
          <w:p w14:paraId="5F8A7B5B" w14:textId="5C165B3E" w:rsidR="005E4BF6" w:rsidRPr="00C3428C" w:rsidRDefault="005E4BF6" w:rsidP="0059529C">
            <w:pPr>
              <w:tabs>
                <w:tab w:val="left" w:pos="1296"/>
              </w:tabs>
              <w:rPr>
                <w:rFonts w:eastAsiaTheme="minorHAnsi"/>
                <w:kern w:val="2"/>
                <w:rtl/>
                <w:lang w:val="fr-FR"/>
                <w14:ligatures w14:val="standardContextual"/>
              </w:rPr>
            </w:pPr>
            <w:r w:rsidRPr="00C3428C">
              <w:rPr>
                <w:rFonts w:eastAsiaTheme="minorHAnsi"/>
                <w:kern w:val="2"/>
                <w:lang w:val="fr-FR"/>
                <w14:ligatures w14:val="standardContextual"/>
              </w:rPr>
              <w:t>Examinateur</w:t>
            </w:r>
          </w:p>
        </w:tc>
        <w:tc>
          <w:tcPr>
            <w:tcW w:w="2985" w:type="dxa"/>
          </w:tcPr>
          <w:p w14:paraId="5EAB2F31" w14:textId="77777777" w:rsidR="005E4BF6" w:rsidRPr="00C3428C" w:rsidRDefault="005E4BF6" w:rsidP="0059529C">
            <w:pPr>
              <w:pStyle w:val="Default"/>
              <w:rPr>
                <w:rFonts w:asciiTheme="minorHAnsi" w:eastAsiaTheme="minorHAnsi" w:hAnsiTheme="minorHAnsi" w:cstheme="minorBidi"/>
                <w:color w:val="auto"/>
                <w:kern w:val="2"/>
                <w:sz w:val="22"/>
                <w:szCs w:val="22"/>
                <w:rtl/>
                <w:lang w:val="fr-FR"/>
                <w14:ligatures w14:val="standardContextual"/>
              </w:rPr>
            </w:pPr>
            <w:r w:rsidRPr="00C3428C">
              <w:rPr>
                <w:rFonts w:asciiTheme="minorHAnsi" w:eastAsiaTheme="minorHAnsi" w:hAnsiTheme="minorHAnsi" w:cstheme="minorBidi"/>
                <w:color w:val="auto"/>
                <w:kern w:val="2"/>
                <w:sz w:val="22"/>
                <w:szCs w:val="22"/>
                <w:lang w:val="fr-FR"/>
                <w14:ligatures w14:val="standardContextual"/>
              </w:rPr>
              <w:t>Dr. Zeina Akiki</w:t>
            </w:r>
          </w:p>
        </w:tc>
      </w:tr>
      <w:tr w:rsidR="005E4BF6" w14:paraId="63F800E4" w14:textId="77777777" w:rsidTr="005E4BF6">
        <w:trPr>
          <w:trHeight w:val="404"/>
        </w:trPr>
        <w:tc>
          <w:tcPr>
            <w:tcW w:w="3863" w:type="dxa"/>
            <w:vAlign w:val="bottom"/>
          </w:tcPr>
          <w:p w14:paraId="3C5705A6" w14:textId="77777777" w:rsidR="005E4BF6" w:rsidRPr="00C3428C" w:rsidRDefault="005E4BF6" w:rsidP="0059529C">
            <w:pPr>
              <w:tabs>
                <w:tab w:val="left" w:pos="1296"/>
              </w:tabs>
              <w:rPr>
                <w:rFonts w:eastAsiaTheme="minorHAnsi"/>
                <w:kern w:val="2"/>
                <w:lang w:val="fr-FR"/>
                <w14:ligatures w14:val="standardContextual"/>
              </w:rPr>
            </w:pPr>
            <w:proofErr w:type="spellStart"/>
            <w:r w:rsidRPr="00C3428C">
              <w:rPr>
                <w:rFonts w:eastAsiaTheme="minorHAnsi"/>
                <w:kern w:val="2"/>
                <w:lang w:val="fr-FR"/>
                <w14:ligatures w14:val="standardContextual"/>
              </w:rPr>
              <w:t>Lebanese</w:t>
            </w:r>
            <w:proofErr w:type="spellEnd"/>
            <w:r w:rsidRPr="00C3428C">
              <w:rPr>
                <w:rFonts w:eastAsiaTheme="minorHAnsi"/>
                <w:kern w:val="2"/>
                <w:lang w:val="fr-FR"/>
                <w14:ligatures w14:val="standardContextual"/>
              </w:rPr>
              <w:t xml:space="preserve"> American </w:t>
            </w:r>
            <w:proofErr w:type="spellStart"/>
            <w:r w:rsidRPr="00C3428C">
              <w:rPr>
                <w:rFonts w:eastAsiaTheme="minorHAnsi"/>
                <w:kern w:val="2"/>
                <w:lang w:val="fr-FR"/>
                <w14:ligatures w14:val="standardContextual"/>
              </w:rPr>
              <w:t>University</w:t>
            </w:r>
            <w:proofErr w:type="spellEnd"/>
          </w:p>
        </w:tc>
        <w:tc>
          <w:tcPr>
            <w:tcW w:w="2700" w:type="dxa"/>
          </w:tcPr>
          <w:p w14:paraId="71809003" w14:textId="60B75321" w:rsidR="005E4BF6" w:rsidRPr="00C3428C" w:rsidRDefault="005E4BF6" w:rsidP="0059529C">
            <w:pPr>
              <w:tabs>
                <w:tab w:val="left" w:pos="1296"/>
              </w:tabs>
              <w:rPr>
                <w:rFonts w:eastAsiaTheme="minorHAnsi"/>
                <w:kern w:val="2"/>
                <w:lang w:val="fr-FR"/>
                <w14:ligatures w14:val="standardContextual"/>
              </w:rPr>
            </w:pPr>
            <w:r w:rsidRPr="00C3428C">
              <w:rPr>
                <w:rFonts w:eastAsiaTheme="minorHAnsi"/>
                <w:kern w:val="2"/>
                <w:lang w:val="fr-FR"/>
                <w14:ligatures w14:val="standardContextual"/>
              </w:rPr>
              <w:t>Examinateur</w:t>
            </w:r>
          </w:p>
        </w:tc>
        <w:tc>
          <w:tcPr>
            <w:tcW w:w="2985" w:type="dxa"/>
          </w:tcPr>
          <w:p w14:paraId="6C21B3B4" w14:textId="77777777" w:rsidR="005E4BF6" w:rsidRPr="00C3428C" w:rsidRDefault="005E4BF6" w:rsidP="0059529C">
            <w:pPr>
              <w:tabs>
                <w:tab w:val="left" w:pos="1296"/>
              </w:tabs>
              <w:rPr>
                <w:rFonts w:eastAsiaTheme="minorHAnsi"/>
                <w:kern w:val="2"/>
                <w:lang w:val="fr-FR"/>
                <w14:ligatures w14:val="standardContextual"/>
              </w:rPr>
            </w:pPr>
            <w:r w:rsidRPr="00C3428C">
              <w:rPr>
                <w:rFonts w:eastAsiaTheme="minorHAnsi"/>
                <w:kern w:val="2"/>
                <w:lang w:val="fr-FR"/>
                <w14:ligatures w14:val="standardContextual"/>
              </w:rPr>
              <w:t xml:space="preserve">Dr. Mary </w:t>
            </w:r>
            <w:proofErr w:type="spellStart"/>
            <w:r w:rsidRPr="00C3428C">
              <w:rPr>
                <w:rFonts w:eastAsiaTheme="minorHAnsi"/>
                <w:kern w:val="2"/>
                <w:lang w:val="fr-FR"/>
                <w14:ligatures w14:val="standardContextual"/>
              </w:rPr>
              <w:t>Deeb</w:t>
            </w:r>
            <w:proofErr w:type="spellEnd"/>
          </w:p>
        </w:tc>
      </w:tr>
      <w:tr w:rsidR="005E4BF6" w14:paraId="42D9A078" w14:textId="77777777" w:rsidTr="005E4BF6">
        <w:trPr>
          <w:trHeight w:val="404"/>
        </w:trPr>
        <w:tc>
          <w:tcPr>
            <w:tcW w:w="3863" w:type="dxa"/>
          </w:tcPr>
          <w:p w14:paraId="3C471873" w14:textId="77777777" w:rsidR="005E4BF6" w:rsidRPr="00C3428C" w:rsidRDefault="005E4BF6" w:rsidP="0059529C">
            <w:pPr>
              <w:tabs>
                <w:tab w:val="left" w:pos="1296"/>
              </w:tabs>
              <w:rPr>
                <w:rFonts w:eastAsiaTheme="minorHAnsi"/>
                <w:kern w:val="2"/>
                <w:lang w:val="fr-FR"/>
                <w14:ligatures w14:val="standardContextual"/>
              </w:rPr>
            </w:pPr>
            <w:r w:rsidRPr="00C3428C">
              <w:rPr>
                <w:rFonts w:eastAsiaTheme="minorHAnsi"/>
                <w:kern w:val="2"/>
                <w:lang w:val="fr-FR"/>
                <w14:ligatures w14:val="standardContextual"/>
              </w:rPr>
              <w:t xml:space="preserve">Alamein International </w:t>
            </w:r>
            <w:proofErr w:type="spellStart"/>
            <w:r w:rsidRPr="00C3428C">
              <w:rPr>
                <w:rFonts w:eastAsiaTheme="minorHAnsi"/>
                <w:kern w:val="2"/>
                <w:lang w:val="fr-FR"/>
                <w14:ligatures w14:val="standardContextual"/>
              </w:rPr>
              <w:t>University</w:t>
            </w:r>
            <w:proofErr w:type="spellEnd"/>
          </w:p>
        </w:tc>
        <w:tc>
          <w:tcPr>
            <w:tcW w:w="2700" w:type="dxa"/>
          </w:tcPr>
          <w:p w14:paraId="0E81C3A7" w14:textId="77777777" w:rsidR="005E4BF6" w:rsidRPr="00C3428C" w:rsidRDefault="005E4BF6" w:rsidP="0059529C">
            <w:pPr>
              <w:tabs>
                <w:tab w:val="left" w:pos="1296"/>
              </w:tabs>
              <w:rPr>
                <w:rFonts w:eastAsiaTheme="minorHAnsi"/>
                <w:kern w:val="2"/>
                <w:lang w:val="fr-FR"/>
                <w14:ligatures w14:val="standardContextual"/>
              </w:rPr>
            </w:pPr>
            <w:r w:rsidRPr="00C3428C">
              <w:rPr>
                <w:rFonts w:eastAsiaTheme="minorHAnsi"/>
                <w:kern w:val="2"/>
                <w:lang w:val="fr-FR"/>
                <w14:ligatures w14:val="standardContextual"/>
              </w:rPr>
              <w:t>Examinateur</w:t>
            </w:r>
          </w:p>
        </w:tc>
        <w:tc>
          <w:tcPr>
            <w:tcW w:w="2985" w:type="dxa"/>
          </w:tcPr>
          <w:p w14:paraId="233BA946" w14:textId="77777777" w:rsidR="005E4BF6" w:rsidRPr="00C3428C" w:rsidRDefault="005E4BF6" w:rsidP="0059529C">
            <w:pPr>
              <w:tabs>
                <w:tab w:val="left" w:pos="1296"/>
              </w:tabs>
              <w:rPr>
                <w:rFonts w:eastAsiaTheme="minorHAnsi"/>
                <w:kern w:val="2"/>
                <w:lang w:val="fr-FR"/>
                <w14:ligatures w14:val="standardContextual"/>
              </w:rPr>
            </w:pPr>
            <w:r w:rsidRPr="00C3428C">
              <w:rPr>
                <w:rFonts w:eastAsiaTheme="minorHAnsi"/>
                <w:kern w:val="2"/>
                <w:lang w:val="fr-FR"/>
                <w14:ligatures w14:val="standardContextual"/>
              </w:rPr>
              <w:t>Dr. Mohamad Amin</w:t>
            </w:r>
          </w:p>
        </w:tc>
      </w:tr>
    </w:tbl>
    <w:p w14:paraId="536AF5CC" w14:textId="47DA872A" w:rsidR="00BF3150" w:rsidRDefault="00BF3150" w:rsidP="005F7D05">
      <w:pPr>
        <w:rPr>
          <w:b/>
          <w:bCs/>
          <w:lang w:val="fr-FR"/>
        </w:rPr>
      </w:pPr>
    </w:p>
    <w:p w14:paraId="4BEA3723" w14:textId="258034BF" w:rsidR="000A319F" w:rsidRDefault="005E4BF6" w:rsidP="005F7D05">
      <w:pPr>
        <w:rPr>
          <w:b/>
          <w:bCs/>
          <w:lang w:val="fr-FR"/>
        </w:rPr>
      </w:pPr>
      <w:r w:rsidRPr="00F50FB2">
        <w:rPr>
          <w:b/>
          <w:bCs/>
          <w:lang w:val="fr-FR"/>
        </w:rPr>
        <w:t xml:space="preserve">Résumé de la thèse : </w:t>
      </w:r>
    </w:p>
    <w:p w14:paraId="4917495A" w14:textId="311A7F0B" w:rsidR="0059529C" w:rsidRPr="00474600" w:rsidRDefault="0059529C" w:rsidP="0059529C">
      <w:pPr>
        <w:jc w:val="both"/>
        <w:rPr>
          <w:lang w:val="fr-FR"/>
        </w:rPr>
      </w:pPr>
      <w:r w:rsidRPr="00474600">
        <w:rPr>
          <w:lang w:val="fr-FR"/>
        </w:rPr>
        <w:t>Cette thèse, intitulée Gestion des Infections Urinaires et de la Pneumonie Acquise dans la Communauté dans les Hôpitaux Libanais, explore les aspects critiques de la prescription d'antibiotiques, les résultats cliniques et la résistance antimicrobienne dans deux maladies infectieuses courantes : les infections urinaires (IU) et la pneumonie acquise dans la communauté (PAC). Réalisée dans plusieurs hôpitaux libanais, cette recherche aborde trois objectifs principaux : évaluer la conformité aux directives nationales, analyser l'impact des schémas de prescription sur les résultats cliniques et étudier les profils de résistance microbienne. Les résultats soulignent la nécessité de renforcer la gestion antimicrobienne, d'améliorer l'adhésion clinique aux directives et de développer une surveillance nationale pour limiter la résistance antimicrobienne (RAM).</w:t>
      </w:r>
    </w:p>
    <w:p w14:paraId="69DD0ED5" w14:textId="608885FC" w:rsidR="0059529C" w:rsidRPr="00474600" w:rsidRDefault="0059529C" w:rsidP="0059529C">
      <w:pPr>
        <w:jc w:val="both"/>
        <w:rPr>
          <w:lang w:val="fr-FR"/>
        </w:rPr>
      </w:pPr>
      <w:r w:rsidRPr="00474600">
        <w:rPr>
          <w:lang w:val="fr-FR"/>
        </w:rPr>
        <w:t>Chapitre I : Évaluation de la Conformité aux Directives Nationales pour le Traitement des Infections Urinaires dans les Hôpitaux Libanais</w:t>
      </w:r>
    </w:p>
    <w:p w14:paraId="679E956C" w14:textId="2471D3AE" w:rsidR="0059529C" w:rsidRPr="00474600" w:rsidRDefault="0059529C" w:rsidP="0059529C">
      <w:pPr>
        <w:jc w:val="both"/>
        <w:rPr>
          <w:lang w:val="fr-FR"/>
        </w:rPr>
      </w:pPr>
      <w:r w:rsidRPr="00474600">
        <w:rPr>
          <w:lang w:val="fr-FR"/>
        </w:rPr>
        <w:t xml:space="preserve">Le premier chapitre examine les pratiques de prescription d'antibiotiques pour les infections urinaires chez les patients hospitalisés, mettant en évidence une non-conformité substantielle avec les directives nationales libanaises. L'étude, menée dans cinq hôpitaux universitaires de mars 2022 à décembre 2023, a inclus 401 patients, avec des traitements antibiotiques empiriques comparés aux normes nationales. L'analyse a révélé que seulement 52,4 % des prescriptions étaient </w:t>
      </w:r>
      <w:r w:rsidRPr="00474600">
        <w:rPr>
          <w:lang w:val="fr-FR"/>
        </w:rPr>
        <w:lastRenderedPageBreak/>
        <w:t>appropriées, avec des variations significatives liées à l'expérience du médecin et à la présentation clinique. Une régression logistique multivariable a identifié l'utilisation de fluoroquinolones (OR : 9,49, p &lt; 0,001) et de carbapénèmes (OR : 1,76, p = 0,032) comme principaux contributeurs aux prescriptions inappropriées. Des disparités de prescription ont été observées, les consultants affichant une meilleure adhésion aux directives par rapport aux résidents, soulignant le besoin d'interventions éducatives ciblées.</w:t>
      </w:r>
    </w:p>
    <w:p w14:paraId="61168E4F" w14:textId="35193E25" w:rsidR="0059529C" w:rsidRPr="00474600" w:rsidRDefault="0059529C" w:rsidP="0059529C">
      <w:pPr>
        <w:jc w:val="both"/>
        <w:rPr>
          <w:lang w:val="fr-FR"/>
        </w:rPr>
      </w:pPr>
      <w:r w:rsidRPr="00474600">
        <w:rPr>
          <w:lang w:val="fr-FR"/>
        </w:rPr>
        <w:t>Chapitre II : Facteurs Influençant la Durée d'Hospitalisation pour les Patients Atteints d'Infections Urinaires et Profils de Sensibilité Microbienne</w:t>
      </w:r>
    </w:p>
    <w:p w14:paraId="75AA356A" w14:textId="47417458" w:rsidR="0059529C" w:rsidRPr="00474600" w:rsidRDefault="0059529C" w:rsidP="0059529C">
      <w:pPr>
        <w:jc w:val="both"/>
        <w:rPr>
          <w:lang w:val="fr-FR"/>
        </w:rPr>
      </w:pPr>
      <w:r w:rsidRPr="00474600">
        <w:rPr>
          <w:lang w:val="fr-FR"/>
        </w:rPr>
        <w:t>Le deuxième chapitre étend l'analyse à la durée d'hospitalisation (LOS) chez les patients atteints d'infections urinaires et au rôle de la résistance microbienne dans le prolongement de l'hospitalisation. Les données du même groupe de patients ont été analysées pour identifier les déterminants cliniques et microbiologiques de la durée de séjour. La durée moyenne d'hospitalisation était de 5,85 ± 2,41 jours, les séjours prolongés étant significativement associés à l'utilisation de carbapénèmes (β = 0,783, p = 0,004), de fluoroquinolones (β = 1,360, p = 0,014) et de thérapies empiriques inappropriées (β = 0,609, p = 0,022). À l'inverse, la désescalade antibiotique basée sur les résultats de culture a considérablement réduit la durée d'hospitalisation (β = −0,567, p = 0,029).</w:t>
      </w:r>
    </w:p>
    <w:p w14:paraId="55D704C7" w14:textId="40ACFBB7" w:rsidR="0059529C" w:rsidRPr="00474600" w:rsidRDefault="0059529C" w:rsidP="0059529C">
      <w:pPr>
        <w:jc w:val="both"/>
        <w:rPr>
          <w:lang w:val="fr-FR"/>
        </w:rPr>
      </w:pPr>
      <w:r w:rsidRPr="00474600">
        <w:rPr>
          <w:lang w:val="fr-FR"/>
        </w:rPr>
        <w:t>Chapitre III : Évaluation de la Gestion de la Pneumonie Acquise dans la Communauté (PAC) et son Impact sur les Résultats Cliniques</w:t>
      </w:r>
    </w:p>
    <w:p w14:paraId="6DACF7DC" w14:textId="70890F34" w:rsidR="0059529C" w:rsidRPr="00474600" w:rsidRDefault="0059529C" w:rsidP="0059529C">
      <w:pPr>
        <w:jc w:val="both"/>
        <w:rPr>
          <w:lang w:val="fr-FR"/>
        </w:rPr>
      </w:pPr>
      <w:r w:rsidRPr="00474600">
        <w:rPr>
          <w:lang w:val="fr-FR"/>
        </w:rPr>
        <w:t>Le troisième chapitre examine le traitement de la Pneumonie Acquise dans la Communauté (PAC) dans les hôpitaux libanais, en se concentrant sur l'adhésion aux directives et son impact sur la récupération des patients. Seule une minorité de patients a reçu un traitement conforme aux directives, avec des écarts significatifs liés à l'expérience du médecin, aux disparités régionales et aux choix antibiotiques spécifiques. Les prescriptions inappropriées étaient corrélées à une morbidité accrue et à des échecs thérapeutiques, soulignant la nécessité de protocoles normalisés pour la PAC.</w:t>
      </w:r>
    </w:p>
    <w:p w14:paraId="62C3E6B7" w14:textId="551924FE" w:rsidR="0059529C" w:rsidRPr="00474600" w:rsidRDefault="0059529C" w:rsidP="0059529C">
      <w:pPr>
        <w:jc w:val="both"/>
        <w:rPr>
          <w:lang w:val="fr-FR"/>
        </w:rPr>
      </w:pPr>
      <w:r w:rsidRPr="00474600">
        <w:rPr>
          <w:lang w:val="fr-FR"/>
        </w:rPr>
        <w:t>Conclusion et Recommandations</w:t>
      </w:r>
    </w:p>
    <w:p w14:paraId="3E708946" w14:textId="08293D1F" w:rsidR="0059529C" w:rsidRPr="00474600" w:rsidRDefault="0059529C" w:rsidP="0059529C">
      <w:pPr>
        <w:jc w:val="both"/>
        <w:rPr>
          <w:lang w:val="fr-FR"/>
        </w:rPr>
      </w:pPr>
      <w:r w:rsidRPr="00474600">
        <w:rPr>
          <w:lang w:val="fr-FR"/>
        </w:rPr>
        <w:t>L'évaluation complète présentée dans cette thèse illustre des lacunes critiques dans la prescription d'antibiotiques pour les IU et la PAC dans les hôpitaux libanais. Les résultats préconisent :</w:t>
      </w:r>
    </w:p>
    <w:p w14:paraId="7E4F1B71" w14:textId="77777777" w:rsidR="0059529C" w:rsidRPr="00474600" w:rsidRDefault="0059529C" w:rsidP="0059529C">
      <w:pPr>
        <w:jc w:val="both"/>
        <w:rPr>
          <w:lang w:val="fr-FR"/>
        </w:rPr>
      </w:pPr>
      <w:r w:rsidRPr="00474600">
        <w:rPr>
          <w:lang w:val="fr-FR"/>
        </w:rPr>
        <w:t>1. Renforcement des Programmes de Gestion Antimicrobienne (PGA).</w:t>
      </w:r>
    </w:p>
    <w:p w14:paraId="3BDCB629" w14:textId="77777777" w:rsidR="0059529C" w:rsidRPr="00474600" w:rsidRDefault="0059529C" w:rsidP="0059529C">
      <w:pPr>
        <w:jc w:val="both"/>
        <w:rPr>
          <w:lang w:val="fr-FR"/>
        </w:rPr>
      </w:pPr>
      <w:r w:rsidRPr="00474600">
        <w:rPr>
          <w:lang w:val="fr-FR"/>
        </w:rPr>
        <w:t>2. Amélioration de la Formation Clinique.</w:t>
      </w:r>
    </w:p>
    <w:p w14:paraId="1D452354" w14:textId="77777777" w:rsidR="0059529C" w:rsidRPr="00474600" w:rsidRDefault="0059529C" w:rsidP="0059529C">
      <w:pPr>
        <w:jc w:val="both"/>
        <w:rPr>
          <w:lang w:val="fr-FR"/>
        </w:rPr>
      </w:pPr>
      <w:r w:rsidRPr="00474600">
        <w:rPr>
          <w:lang w:val="fr-FR"/>
        </w:rPr>
        <w:t>3. Systèmes de Surveillance Nationale.</w:t>
      </w:r>
    </w:p>
    <w:p w14:paraId="00691E98" w14:textId="77777777" w:rsidR="0059529C" w:rsidRPr="00474600" w:rsidRDefault="0059529C" w:rsidP="0059529C">
      <w:pPr>
        <w:jc w:val="both"/>
        <w:rPr>
          <w:lang w:val="fr-FR"/>
        </w:rPr>
      </w:pPr>
      <w:r w:rsidRPr="00474600">
        <w:rPr>
          <w:lang w:val="fr-FR"/>
        </w:rPr>
        <w:t>4. Mise en Œuvre d'Outils d'Aide à la Décision Clinique.</w:t>
      </w:r>
    </w:p>
    <w:p w14:paraId="5BC74EDC" w14:textId="77777777" w:rsidR="0059529C" w:rsidRPr="00474600" w:rsidRDefault="0059529C" w:rsidP="0059529C">
      <w:pPr>
        <w:jc w:val="both"/>
        <w:rPr>
          <w:lang w:val="fr-FR"/>
        </w:rPr>
      </w:pPr>
      <w:r w:rsidRPr="00474600">
        <w:rPr>
          <w:lang w:val="fr-FR"/>
        </w:rPr>
        <w:t>5. Révisions Politiques et Renforcement Réglementaire.</w:t>
      </w:r>
    </w:p>
    <w:p w14:paraId="4588456B" w14:textId="77777777" w:rsidR="005E4BF6" w:rsidRPr="0059529C" w:rsidRDefault="005E4BF6" w:rsidP="0059529C">
      <w:pPr>
        <w:jc w:val="both"/>
        <w:rPr>
          <w:b/>
          <w:bCs/>
          <w:lang w:val="fr-FR"/>
        </w:rPr>
      </w:pPr>
    </w:p>
    <w:sectPr w:rsidR="005E4BF6" w:rsidRPr="00595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05"/>
    <w:rsid w:val="00024D6D"/>
    <w:rsid w:val="00056A44"/>
    <w:rsid w:val="000A319F"/>
    <w:rsid w:val="00113EA7"/>
    <w:rsid w:val="001431BB"/>
    <w:rsid w:val="00194D54"/>
    <w:rsid w:val="001D615D"/>
    <w:rsid w:val="0022051D"/>
    <w:rsid w:val="002206B7"/>
    <w:rsid w:val="002F4A2E"/>
    <w:rsid w:val="0042118D"/>
    <w:rsid w:val="004B6B32"/>
    <w:rsid w:val="00524E3B"/>
    <w:rsid w:val="0056545E"/>
    <w:rsid w:val="0059529C"/>
    <w:rsid w:val="005E4BF6"/>
    <w:rsid w:val="005F7D05"/>
    <w:rsid w:val="006165F9"/>
    <w:rsid w:val="006D008C"/>
    <w:rsid w:val="008C5DF7"/>
    <w:rsid w:val="008C6B35"/>
    <w:rsid w:val="00906D4F"/>
    <w:rsid w:val="00924FB2"/>
    <w:rsid w:val="009C66D9"/>
    <w:rsid w:val="00A266BB"/>
    <w:rsid w:val="00AD5BEA"/>
    <w:rsid w:val="00B00F77"/>
    <w:rsid w:val="00B529C2"/>
    <w:rsid w:val="00BA33AC"/>
    <w:rsid w:val="00BF3150"/>
    <w:rsid w:val="00BF6B6D"/>
    <w:rsid w:val="00C33443"/>
    <w:rsid w:val="00C3428C"/>
    <w:rsid w:val="00E17513"/>
    <w:rsid w:val="00F50FB2"/>
    <w:rsid w:val="00FE54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08BE7"/>
  <w15:chartTrackingRefBased/>
  <w15:docId w15:val="{993422A3-21BD-4CFD-9326-FFD90FB3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D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7D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7D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7D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7D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7D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7D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7D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7D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D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7D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7D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7D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7D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7D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7D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7D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7D05"/>
    <w:rPr>
      <w:rFonts w:eastAsiaTheme="majorEastAsia" w:cstheme="majorBidi"/>
      <w:color w:val="272727" w:themeColor="text1" w:themeTint="D8"/>
    </w:rPr>
  </w:style>
  <w:style w:type="paragraph" w:styleId="Title">
    <w:name w:val="Title"/>
    <w:basedOn w:val="Normal"/>
    <w:next w:val="Normal"/>
    <w:link w:val="TitleChar"/>
    <w:uiPriority w:val="10"/>
    <w:qFormat/>
    <w:rsid w:val="005F7D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7D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D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7D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D05"/>
    <w:pPr>
      <w:spacing w:before="160"/>
      <w:jc w:val="center"/>
    </w:pPr>
    <w:rPr>
      <w:i/>
      <w:iCs/>
      <w:color w:val="404040" w:themeColor="text1" w:themeTint="BF"/>
    </w:rPr>
  </w:style>
  <w:style w:type="character" w:customStyle="1" w:styleId="QuoteChar">
    <w:name w:val="Quote Char"/>
    <w:basedOn w:val="DefaultParagraphFont"/>
    <w:link w:val="Quote"/>
    <w:uiPriority w:val="29"/>
    <w:rsid w:val="005F7D05"/>
    <w:rPr>
      <w:i/>
      <w:iCs/>
      <w:color w:val="404040" w:themeColor="text1" w:themeTint="BF"/>
    </w:rPr>
  </w:style>
  <w:style w:type="paragraph" w:styleId="ListParagraph">
    <w:name w:val="List Paragraph"/>
    <w:basedOn w:val="Normal"/>
    <w:uiPriority w:val="34"/>
    <w:qFormat/>
    <w:rsid w:val="005F7D05"/>
    <w:pPr>
      <w:ind w:left="720"/>
      <w:contextualSpacing/>
    </w:pPr>
  </w:style>
  <w:style w:type="character" w:styleId="IntenseEmphasis">
    <w:name w:val="Intense Emphasis"/>
    <w:basedOn w:val="DefaultParagraphFont"/>
    <w:uiPriority w:val="21"/>
    <w:qFormat/>
    <w:rsid w:val="005F7D05"/>
    <w:rPr>
      <w:i/>
      <w:iCs/>
      <w:color w:val="0F4761" w:themeColor="accent1" w:themeShade="BF"/>
    </w:rPr>
  </w:style>
  <w:style w:type="paragraph" w:styleId="IntenseQuote">
    <w:name w:val="Intense Quote"/>
    <w:basedOn w:val="Normal"/>
    <w:next w:val="Normal"/>
    <w:link w:val="IntenseQuoteChar"/>
    <w:uiPriority w:val="30"/>
    <w:qFormat/>
    <w:rsid w:val="005F7D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7D05"/>
    <w:rPr>
      <w:i/>
      <w:iCs/>
      <w:color w:val="0F4761" w:themeColor="accent1" w:themeShade="BF"/>
    </w:rPr>
  </w:style>
  <w:style w:type="character" w:styleId="IntenseReference">
    <w:name w:val="Intense Reference"/>
    <w:basedOn w:val="DefaultParagraphFont"/>
    <w:uiPriority w:val="32"/>
    <w:qFormat/>
    <w:rsid w:val="005F7D05"/>
    <w:rPr>
      <w:b/>
      <w:bCs/>
      <w:smallCaps/>
      <w:color w:val="0F4761" w:themeColor="accent1" w:themeShade="BF"/>
      <w:spacing w:val="5"/>
    </w:rPr>
  </w:style>
  <w:style w:type="character" w:styleId="Hyperlink">
    <w:name w:val="Hyperlink"/>
    <w:basedOn w:val="DefaultParagraphFont"/>
    <w:uiPriority w:val="99"/>
    <w:unhideWhenUsed/>
    <w:rsid w:val="005F7D05"/>
    <w:rPr>
      <w:color w:val="467886" w:themeColor="hyperlink"/>
      <w:u w:val="single"/>
    </w:rPr>
  </w:style>
  <w:style w:type="character" w:styleId="UnresolvedMention">
    <w:name w:val="Unresolved Mention"/>
    <w:basedOn w:val="DefaultParagraphFont"/>
    <w:uiPriority w:val="99"/>
    <w:semiHidden/>
    <w:unhideWhenUsed/>
    <w:rsid w:val="005F7D05"/>
    <w:rPr>
      <w:color w:val="605E5C"/>
      <w:shd w:val="clear" w:color="auto" w:fill="E1DFDD"/>
    </w:rPr>
  </w:style>
  <w:style w:type="table" w:styleId="TableGrid">
    <w:name w:val="Table Grid"/>
    <w:basedOn w:val="TableNormal"/>
    <w:uiPriority w:val="39"/>
    <w:rsid w:val="00E17513"/>
    <w:pPr>
      <w:spacing w:after="0" w:line="240" w:lineRule="auto"/>
    </w:pPr>
    <w:rPr>
      <w:rFonts w:eastAsia="MS Minch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7513"/>
    <w:pPr>
      <w:autoSpaceDE w:val="0"/>
      <w:autoSpaceDN w:val="0"/>
      <w:adjustRightInd w:val="0"/>
      <w:spacing w:after="0" w:line="240" w:lineRule="auto"/>
    </w:pPr>
    <w:rPr>
      <w:rFonts w:ascii="Calibri" w:eastAsia="MS Mincho"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8645">
      <w:bodyDiv w:val="1"/>
      <w:marLeft w:val="0"/>
      <w:marRight w:val="0"/>
      <w:marTop w:val="0"/>
      <w:marBottom w:val="0"/>
      <w:divBdr>
        <w:top w:val="none" w:sz="0" w:space="0" w:color="auto"/>
        <w:left w:val="none" w:sz="0" w:space="0" w:color="auto"/>
        <w:bottom w:val="none" w:sz="0" w:space="0" w:color="auto"/>
        <w:right w:val="none" w:sz="0" w:space="0" w:color="auto"/>
      </w:divBdr>
    </w:div>
    <w:div w:id="31466520">
      <w:bodyDiv w:val="1"/>
      <w:marLeft w:val="0"/>
      <w:marRight w:val="0"/>
      <w:marTop w:val="0"/>
      <w:marBottom w:val="0"/>
      <w:divBdr>
        <w:top w:val="none" w:sz="0" w:space="0" w:color="auto"/>
        <w:left w:val="none" w:sz="0" w:space="0" w:color="auto"/>
        <w:bottom w:val="none" w:sz="0" w:space="0" w:color="auto"/>
        <w:right w:val="none" w:sz="0" w:space="0" w:color="auto"/>
      </w:divBdr>
    </w:div>
    <w:div w:id="864635012">
      <w:bodyDiv w:val="1"/>
      <w:marLeft w:val="0"/>
      <w:marRight w:val="0"/>
      <w:marTop w:val="0"/>
      <w:marBottom w:val="0"/>
      <w:divBdr>
        <w:top w:val="none" w:sz="0" w:space="0" w:color="auto"/>
        <w:left w:val="none" w:sz="0" w:space="0" w:color="auto"/>
        <w:bottom w:val="none" w:sz="0" w:space="0" w:color="auto"/>
        <w:right w:val="none" w:sz="0" w:space="0" w:color="auto"/>
      </w:divBdr>
    </w:div>
    <w:div w:id="868373127">
      <w:bodyDiv w:val="1"/>
      <w:marLeft w:val="0"/>
      <w:marRight w:val="0"/>
      <w:marTop w:val="0"/>
      <w:marBottom w:val="0"/>
      <w:divBdr>
        <w:top w:val="none" w:sz="0" w:space="0" w:color="auto"/>
        <w:left w:val="none" w:sz="0" w:space="0" w:color="auto"/>
        <w:bottom w:val="none" w:sz="0" w:space="0" w:color="auto"/>
        <w:right w:val="none" w:sz="0" w:space="0" w:color="auto"/>
      </w:divBdr>
      <w:divsChild>
        <w:div w:id="1725787315">
          <w:marLeft w:val="0"/>
          <w:marRight w:val="0"/>
          <w:marTop w:val="0"/>
          <w:marBottom w:val="0"/>
          <w:divBdr>
            <w:top w:val="none" w:sz="0" w:space="0" w:color="auto"/>
            <w:left w:val="none" w:sz="0" w:space="0" w:color="auto"/>
            <w:bottom w:val="none" w:sz="0" w:space="0" w:color="auto"/>
            <w:right w:val="none" w:sz="0" w:space="0" w:color="auto"/>
          </w:divBdr>
          <w:divsChild>
            <w:div w:id="2140565101">
              <w:marLeft w:val="0"/>
              <w:marRight w:val="0"/>
              <w:marTop w:val="0"/>
              <w:marBottom w:val="0"/>
              <w:divBdr>
                <w:top w:val="none" w:sz="0" w:space="0" w:color="auto"/>
                <w:left w:val="none" w:sz="0" w:space="0" w:color="auto"/>
                <w:bottom w:val="none" w:sz="0" w:space="0" w:color="auto"/>
                <w:right w:val="none" w:sz="0" w:space="0" w:color="auto"/>
              </w:divBdr>
              <w:divsChild>
                <w:div w:id="1779449483">
                  <w:marLeft w:val="0"/>
                  <w:marRight w:val="0"/>
                  <w:marTop w:val="0"/>
                  <w:marBottom w:val="0"/>
                  <w:divBdr>
                    <w:top w:val="none" w:sz="0" w:space="0" w:color="auto"/>
                    <w:left w:val="none" w:sz="0" w:space="0" w:color="auto"/>
                    <w:bottom w:val="none" w:sz="0" w:space="0" w:color="auto"/>
                    <w:right w:val="none" w:sz="0" w:space="0" w:color="auto"/>
                  </w:divBdr>
                  <w:divsChild>
                    <w:div w:id="221914741">
                      <w:marLeft w:val="0"/>
                      <w:marRight w:val="0"/>
                      <w:marTop w:val="100"/>
                      <w:marBottom w:val="100"/>
                      <w:divBdr>
                        <w:top w:val="none" w:sz="0" w:space="0" w:color="auto"/>
                        <w:left w:val="none" w:sz="0" w:space="0" w:color="auto"/>
                        <w:bottom w:val="none" w:sz="0" w:space="0" w:color="auto"/>
                        <w:right w:val="none" w:sz="0" w:space="0" w:color="auto"/>
                      </w:divBdr>
                      <w:divsChild>
                        <w:div w:id="1148085322">
                          <w:marLeft w:val="0"/>
                          <w:marRight w:val="450"/>
                          <w:marTop w:val="0"/>
                          <w:marBottom w:val="0"/>
                          <w:divBdr>
                            <w:top w:val="none" w:sz="0" w:space="0" w:color="auto"/>
                            <w:left w:val="none" w:sz="0" w:space="0" w:color="auto"/>
                            <w:bottom w:val="none" w:sz="0" w:space="0" w:color="auto"/>
                            <w:right w:val="none" w:sz="0" w:space="0" w:color="auto"/>
                          </w:divBdr>
                          <w:divsChild>
                            <w:div w:id="1731615078">
                              <w:marLeft w:val="0"/>
                              <w:marRight w:val="0"/>
                              <w:marTop w:val="0"/>
                              <w:marBottom w:val="0"/>
                              <w:divBdr>
                                <w:top w:val="none" w:sz="0" w:space="0" w:color="auto"/>
                                <w:left w:val="none" w:sz="0" w:space="0" w:color="auto"/>
                                <w:bottom w:val="none" w:sz="0" w:space="0" w:color="auto"/>
                                <w:right w:val="none" w:sz="0" w:space="0" w:color="auto"/>
                              </w:divBdr>
                              <w:divsChild>
                                <w:div w:id="2834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576699">
      <w:bodyDiv w:val="1"/>
      <w:marLeft w:val="0"/>
      <w:marRight w:val="0"/>
      <w:marTop w:val="0"/>
      <w:marBottom w:val="0"/>
      <w:divBdr>
        <w:top w:val="none" w:sz="0" w:space="0" w:color="auto"/>
        <w:left w:val="none" w:sz="0" w:space="0" w:color="auto"/>
        <w:bottom w:val="none" w:sz="0" w:space="0" w:color="auto"/>
        <w:right w:val="none" w:sz="0" w:space="0" w:color="auto"/>
      </w:divBdr>
      <w:divsChild>
        <w:div w:id="184173200">
          <w:marLeft w:val="0"/>
          <w:marRight w:val="0"/>
          <w:marTop w:val="0"/>
          <w:marBottom w:val="0"/>
          <w:divBdr>
            <w:top w:val="none" w:sz="0" w:space="0" w:color="auto"/>
            <w:left w:val="none" w:sz="0" w:space="0" w:color="auto"/>
            <w:bottom w:val="none" w:sz="0" w:space="0" w:color="auto"/>
            <w:right w:val="none" w:sz="0" w:space="0" w:color="auto"/>
          </w:divBdr>
          <w:divsChild>
            <w:div w:id="234436632">
              <w:marLeft w:val="0"/>
              <w:marRight w:val="0"/>
              <w:marTop w:val="0"/>
              <w:marBottom w:val="0"/>
              <w:divBdr>
                <w:top w:val="none" w:sz="0" w:space="0" w:color="auto"/>
                <w:left w:val="none" w:sz="0" w:space="0" w:color="auto"/>
                <w:bottom w:val="none" w:sz="0" w:space="0" w:color="auto"/>
                <w:right w:val="none" w:sz="0" w:space="0" w:color="auto"/>
              </w:divBdr>
              <w:divsChild>
                <w:div w:id="2024629989">
                  <w:marLeft w:val="0"/>
                  <w:marRight w:val="0"/>
                  <w:marTop w:val="0"/>
                  <w:marBottom w:val="0"/>
                  <w:divBdr>
                    <w:top w:val="none" w:sz="0" w:space="0" w:color="auto"/>
                    <w:left w:val="none" w:sz="0" w:space="0" w:color="auto"/>
                    <w:bottom w:val="none" w:sz="0" w:space="0" w:color="auto"/>
                    <w:right w:val="none" w:sz="0" w:space="0" w:color="auto"/>
                  </w:divBdr>
                  <w:divsChild>
                    <w:div w:id="436755545">
                      <w:marLeft w:val="0"/>
                      <w:marRight w:val="0"/>
                      <w:marTop w:val="100"/>
                      <w:marBottom w:val="100"/>
                      <w:divBdr>
                        <w:top w:val="none" w:sz="0" w:space="0" w:color="auto"/>
                        <w:left w:val="none" w:sz="0" w:space="0" w:color="auto"/>
                        <w:bottom w:val="none" w:sz="0" w:space="0" w:color="auto"/>
                        <w:right w:val="none" w:sz="0" w:space="0" w:color="auto"/>
                      </w:divBdr>
                      <w:divsChild>
                        <w:div w:id="377514195">
                          <w:marLeft w:val="0"/>
                          <w:marRight w:val="450"/>
                          <w:marTop w:val="0"/>
                          <w:marBottom w:val="0"/>
                          <w:divBdr>
                            <w:top w:val="none" w:sz="0" w:space="0" w:color="auto"/>
                            <w:left w:val="none" w:sz="0" w:space="0" w:color="auto"/>
                            <w:bottom w:val="none" w:sz="0" w:space="0" w:color="auto"/>
                            <w:right w:val="none" w:sz="0" w:space="0" w:color="auto"/>
                          </w:divBdr>
                          <w:divsChild>
                            <w:div w:id="842669699">
                              <w:marLeft w:val="0"/>
                              <w:marRight w:val="0"/>
                              <w:marTop w:val="0"/>
                              <w:marBottom w:val="0"/>
                              <w:divBdr>
                                <w:top w:val="none" w:sz="0" w:space="0" w:color="auto"/>
                                <w:left w:val="none" w:sz="0" w:space="0" w:color="auto"/>
                                <w:bottom w:val="none" w:sz="0" w:space="0" w:color="auto"/>
                                <w:right w:val="none" w:sz="0" w:space="0" w:color="auto"/>
                              </w:divBdr>
                              <w:divsChild>
                                <w:div w:id="2863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694718">
      <w:bodyDiv w:val="1"/>
      <w:marLeft w:val="0"/>
      <w:marRight w:val="0"/>
      <w:marTop w:val="0"/>
      <w:marBottom w:val="0"/>
      <w:divBdr>
        <w:top w:val="none" w:sz="0" w:space="0" w:color="auto"/>
        <w:left w:val="none" w:sz="0" w:space="0" w:color="auto"/>
        <w:bottom w:val="none" w:sz="0" w:space="0" w:color="auto"/>
        <w:right w:val="none" w:sz="0" w:space="0" w:color="auto"/>
      </w:divBdr>
    </w:div>
    <w:div w:id="1046489976">
      <w:bodyDiv w:val="1"/>
      <w:marLeft w:val="0"/>
      <w:marRight w:val="0"/>
      <w:marTop w:val="0"/>
      <w:marBottom w:val="0"/>
      <w:divBdr>
        <w:top w:val="none" w:sz="0" w:space="0" w:color="auto"/>
        <w:left w:val="none" w:sz="0" w:space="0" w:color="auto"/>
        <w:bottom w:val="none" w:sz="0" w:space="0" w:color="auto"/>
        <w:right w:val="none" w:sz="0" w:space="0" w:color="auto"/>
      </w:divBdr>
    </w:div>
    <w:div w:id="1416780965">
      <w:bodyDiv w:val="1"/>
      <w:marLeft w:val="0"/>
      <w:marRight w:val="0"/>
      <w:marTop w:val="0"/>
      <w:marBottom w:val="0"/>
      <w:divBdr>
        <w:top w:val="none" w:sz="0" w:space="0" w:color="auto"/>
        <w:left w:val="none" w:sz="0" w:space="0" w:color="auto"/>
        <w:bottom w:val="none" w:sz="0" w:space="0" w:color="auto"/>
        <w:right w:val="none" w:sz="0" w:space="0" w:color="auto"/>
      </w:divBdr>
    </w:div>
    <w:div w:id="1492213542">
      <w:bodyDiv w:val="1"/>
      <w:marLeft w:val="0"/>
      <w:marRight w:val="0"/>
      <w:marTop w:val="0"/>
      <w:marBottom w:val="0"/>
      <w:divBdr>
        <w:top w:val="none" w:sz="0" w:space="0" w:color="auto"/>
        <w:left w:val="none" w:sz="0" w:space="0" w:color="auto"/>
        <w:bottom w:val="none" w:sz="0" w:space="0" w:color="auto"/>
        <w:right w:val="none" w:sz="0" w:space="0" w:color="auto"/>
      </w:divBdr>
    </w:div>
    <w:div w:id="183372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733</Words>
  <Characters>4460</Characters>
  <Application>Microsoft Office Word</Application>
  <DocSecurity>0</DocSecurity>
  <Lines>87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Kassem Hamze</dc:creator>
  <cp:keywords/>
  <dc:description/>
  <cp:lastModifiedBy>Zeinab Ibrahim</cp:lastModifiedBy>
  <cp:revision>15</cp:revision>
  <cp:lastPrinted>2025-07-03T08:21:00Z</cp:lastPrinted>
  <dcterms:created xsi:type="dcterms:W3CDTF">2025-02-17T10:34:00Z</dcterms:created>
  <dcterms:modified xsi:type="dcterms:W3CDTF">2025-07-03T08:32:00Z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913a8123-a84c-40ac-ac21-7633ca671bc8</vt:lpwstr>
  </property>
</Properties>
</file>